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20</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21</w:t>
      </w:r>
      <w:r>
        <w:fldChar w:fldCharType="end"/>
      </w:r>
    </w:p>
    <w:p>
      <w:pPr>
        <w:pStyle w:val="7"/>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22</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五十九、霸州市东杨庄乡孙家坊完小收支预算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649.86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649.86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649.86</w:t>
            </w:r>
          </w:p>
        </w:tc>
        <w:tc>
          <w:tcPr>
            <w:tcW w:w="4535" w:type="dxa"/>
            <w:vAlign w:val="center"/>
          </w:tcPr>
          <w:p>
            <w:pPr>
              <w:pStyle w:val="24"/>
            </w:pPr>
            <w:r>
              <w:t>本年支出合计</w:t>
            </w:r>
          </w:p>
        </w:tc>
        <w:tc>
          <w:tcPr>
            <w:tcW w:w="2126" w:type="dxa"/>
            <w:vAlign w:val="center"/>
          </w:tcPr>
          <w:p>
            <w:pPr>
              <w:pStyle w:val="25"/>
            </w:pPr>
            <w:r>
              <w:t>649.86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649.86</w:t>
            </w:r>
          </w:p>
        </w:tc>
        <w:tc>
          <w:tcPr>
            <w:tcW w:w="4535" w:type="dxa"/>
            <w:vAlign w:val="center"/>
          </w:tcPr>
          <w:p>
            <w:pPr>
              <w:pStyle w:val="24"/>
            </w:pPr>
            <w:r>
              <w:t>支出总计</w:t>
            </w:r>
          </w:p>
        </w:tc>
        <w:tc>
          <w:tcPr>
            <w:tcW w:w="2126" w:type="dxa"/>
            <w:vAlign w:val="center"/>
          </w:tcPr>
          <w:p>
            <w:pPr>
              <w:pStyle w:val="25"/>
            </w:pPr>
            <w:r>
              <w:t>649.86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649.86</w:t>
            </w:r>
          </w:p>
        </w:tc>
        <w:tc>
          <w:tcPr>
            <w:tcW w:w="1134" w:type="dxa"/>
            <w:vAlign w:val="center"/>
          </w:tcPr>
          <w:p>
            <w:pPr>
              <w:pStyle w:val="25"/>
            </w:pPr>
            <w:r>
              <w:t>649.86</w:t>
            </w:r>
          </w:p>
        </w:tc>
        <w:tc>
          <w:tcPr>
            <w:tcW w:w="1134" w:type="dxa"/>
            <w:vAlign w:val="center"/>
          </w:tcPr>
          <w:p>
            <w:pPr>
              <w:pStyle w:val="25"/>
            </w:pPr>
            <w:r>
              <w:t>649.86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649.86</w:t>
            </w:r>
          </w:p>
        </w:tc>
        <w:tc>
          <w:tcPr>
            <w:tcW w:w="1134" w:type="dxa"/>
            <w:vAlign w:val="center"/>
          </w:tcPr>
          <w:p>
            <w:pPr>
              <w:pStyle w:val="21"/>
            </w:pPr>
            <w:r>
              <w:t>649.86</w:t>
            </w:r>
          </w:p>
        </w:tc>
        <w:tc>
          <w:tcPr>
            <w:tcW w:w="1134" w:type="dxa"/>
            <w:vAlign w:val="center"/>
          </w:tcPr>
          <w:p>
            <w:pPr>
              <w:pStyle w:val="21"/>
            </w:pPr>
            <w:r>
              <w:t>649.86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649.86</w:t>
            </w:r>
          </w:p>
        </w:tc>
        <w:tc>
          <w:tcPr>
            <w:tcW w:w="1134" w:type="dxa"/>
            <w:vAlign w:val="center"/>
          </w:tcPr>
          <w:p>
            <w:pPr>
              <w:pStyle w:val="21"/>
            </w:pPr>
            <w:r>
              <w:t>649.86</w:t>
            </w:r>
          </w:p>
        </w:tc>
        <w:tc>
          <w:tcPr>
            <w:tcW w:w="1134" w:type="dxa"/>
            <w:vAlign w:val="center"/>
          </w:tcPr>
          <w:p>
            <w:pPr>
              <w:pStyle w:val="21"/>
            </w:pPr>
            <w:r>
              <w:t>649.86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12.28</w:t>
            </w:r>
          </w:p>
        </w:tc>
        <w:tc>
          <w:tcPr>
            <w:tcW w:w="1134" w:type="dxa"/>
            <w:vAlign w:val="center"/>
          </w:tcPr>
          <w:p>
            <w:pPr>
              <w:pStyle w:val="21"/>
            </w:pPr>
            <w:r>
              <w:t>12.28</w:t>
            </w:r>
          </w:p>
        </w:tc>
        <w:tc>
          <w:tcPr>
            <w:tcW w:w="1134" w:type="dxa"/>
            <w:vAlign w:val="center"/>
          </w:tcPr>
          <w:p>
            <w:pPr>
              <w:pStyle w:val="21"/>
            </w:pPr>
            <w:r>
              <w:t>12.28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637.58</w:t>
            </w:r>
          </w:p>
        </w:tc>
        <w:tc>
          <w:tcPr>
            <w:tcW w:w="1134" w:type="dxa"/>
            <w:vAlign w:val="center"/>
          </w:tcPr>
          <w:p>
            <w:pPr>
              <w:pStyle w:val="21"/>
            </w:pPr>
            <w:r>
              <w:t>637.58</w:t>
            </w:r>
          </w:p>
        </w:tc>
        <w:tc>
          <w:tcPr>
            <w:tcW w:w="1134" w:type="dxa"/>
            <w:vAlign w:val="center"/>
          </w:tcPr>
          <w:p>
            <w:pPr>
              <w:pStyle w:val="21"/>
            </w:pPr>
            <w:r>
              <w:t>637.58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649.86</w:t>
            </w:r>
          </w:p>
        </w:tc>
        <w:tc>
          <w:tcPr>
            <w:tcW w:w="1361" w:type="dxa"/>
            <w:vAlign w:val="center"/>
          </w:tcPr>
          <w:p>
            <w:pPr>
              <w:pStyle w:val="25"/>
            </w:pPr>
            <w:r>
              <w:t>575.76</w:t>
            </w:r>
          </w:p>
        </w:tc>
        <w:tc>
          <w:tcPr>
            <w:tcW w:w="1361" w:type="dxa"/>
            <w:vAlign w:val="center"/>
          </w:tcPr>
          <w:p>
            <w:pPr>
              <w:pStyle w:val="25"/>
            </w:pPr>
            <w:r>
              <w:t>74.10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649.86</w:t>
            </w:r>
          </w:p>
        </w:tc>
        <w:tc>
          <w:tcPr>
            <w:tcW w:w="1361" w:type="dxa"/>
            <w:vAlign w:val="center"/>
          </w:tcPr>
          <w:p>
            <w:pPr>
              <w:pStyle w:val="21"/>
            </w:pPr>
            <w:r>
              <w:t>575.76</w:t>
            </w:r>
          </w:p>
        </w:tc>
        <w:tc>
          <w:tcPr>
            <w:tcW w:w="1361" w:type="dxa"/>
            <w:vAlign w:val="center"/>
          </w:tcPr>
          <w:p>
            <w:pPr>
              <w:pStyle w:val="21"/>
            </w:pPr>
            <w:r>
              <w:t>74.10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649.86</w:t>
            </w:r>
          </w:p>
        </w:tc>
        <w:tc>
          <w:tcPr>
            <w:tcW w:w="1361" w:type="dxa"/>
            <w:vAlign w:val="center"/>
          </w:tcPr>
          <w:p>
            <w:pPr>
              <w:pStyle w:val="21"/>
            </w:pPr>
            <w:r>
              <w:t>575.76</w:t>
            </w:r>
          </w:p>
        </w:tc>
        <w:tc>
          <w:tcPr>
            <w:tcW w:w="1361" w:type="dxa"/>
            <w:vAlign w:val="center"/>
          </w:tcPr>
          <w:p>
            <w:pPr>
              <w:pStyle w:val="21"/>
            </w:pPr>
            <w:r>
              <w:t>74.10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12.28</w:t>
            </w:r>
          </w:p>
        </w:tc>
        <w:tc>
          <w:tcPr>
            <w:tcW w:w="1361" w:type="dxa"/>
            <w:vAlign w:val="center"/>
          </w:tcPr>
          <w:p>
            <w:pPr>
              <w:pStyle w:val="21"/>
            </w:pPr>
            <w:r>
              <w:t>1.08</w:t>
            </w:r>
          </w:p>
        </w:tc>
        <w:tc>
          <w:tcPr>
            <w:tcW w:w="1361" w:type="dxa"/>
            <w:vAlign w:val="center"/>
          </w:tcPr>
          <w:p>
            <w:pPr>
              <w:pStyle w:val="21"/>
            </w:pPr>
            <w:r>
              <w:t>11.20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637.58</w:t>
            </w:r>
          </w:p>
        </w:tc>
        <w:tc>
          <w:tcPr>
            <w:tcW w:w="1361" w:type="dxa"/>
            <w:vAlign w:val="center"/>
          </w:tcPr>
          <w:p>
            <w:pPr>
              <w:pStyle w:val="21"/>
            </w:pPr>
            <w:r>
              <w:t>574.68</w:t>
            </w:r>
          </w:p>
        </w:tc>
        <w:tc>
          <w:tcPr>
            <w:tcW w:w="1361" w:type="dxa"/>
            <w:vAlign w:val="center"/>
          </w:tcPr>
          <w:p>
            <w:pPr>
              <w:pStyle w:val="21"/>
            </w:pPr>
            <w:r>
              <w:t>62.90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649.86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649.86</w:t>
            </w:r>
          </w:p>
        </w:tc>
        <w:tc>
          <w:tcPr>
            <w:tcW w:w="1474" w:type="dxa"/>
            <w:vAlign w:val="center"/>
          </w:tcPr>
          <w:p>
            <w:pPr>
              <w:pStyle w:val="21"/>
            </w:pPr>
            <w:r>
              <w:t>649.86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649.86</w:t>
            </w:r>
          </w:p>
        </w:tc>
        <w:tc>
          <w:tcPr>
            <w:tcW w:w="3402" w:type="dxa"/>
            <w:vAlign w:val="center"/>
          </w:tcPr>
          <w:p>
            <w:pPr>
              <w:pStyle w:val="24"/>
            </w:pPr>
            <w:r>
              <w:t>本年支出合计</w:t>
            </w:r>
          </w:p>
        </w:tc>
        <w:tc>
          <w:tcPr>
            <w:tcW w:w="1474" w:type="dxa"/>
            <w:vAlign w:val="center"/>
          </w:tcPr>
          <w:p>
            <w:pPr>
              <w:pStyle w:val="25"/>
            </w:pPr>
            <w:r>
              <w:t>649.86</w:t>
            </w:r>
          </w:p>
        </w:tc>
        <w:tc>
          <w:tcPr>
            <w:tcW w:w="1474" w:type="dxa"/>
            <w:vAlign w:val="center"/>
          </w:tcPr>
          <w:p>
            <w:pPr>
              <w:pStyle w:val="25"/>
            </w:pPr>
            <w:r>
              <w:t>649.86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649.86</w:t>
            </w:r>
          </w:p>
        </w:tc>
        <w:tc>
          <w:tcPr>
            <w:tcW w:w="3402" w:type="dxa"/>
            <w:vAlign w:val="center"/>
          </w:tcPr>
          <w:p>
            <w:pPr>
              <w:pStyle w:val="24"/>
            </w:pPr>
            <w:r>
              <w:t>支出总计</w:t>
            </w:r>
          </w:p>
        </w:tc>
        <w:tc>
          <w:tcPr>
            <w:tcW w:w="1474" w:type="dxa"/>
            <w:vAlign w:val="center"/>
          </w:tcPr>
          <w:p>
            <w:pPr>
              <w:pStyle w:val="25"/>
            </w:pPr>
            <w:r>
              <w:t>649.86</w:t>
            </w:r>
          </w:p>
        </w:tc>
        <w:tc>
          <w:tcPr>
            <w:tcW w:w="1474" w:type="dxa"/>
            <w:vAlign w:val="center"/>
          </w:tcPr>
          <w:p>
            <w:pPr>
              <w:pStyle w:val="25"/>
            </w:pPr>
            <w:r>
              <w:t>649.86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649.86</w:t>
            </w:r>
          </w:p>
        </w:tc>
        <w:tc>
          <w:tcPr>
            <w:tcW w:w="2551" w:type="dxa"/>
            <w:vAlign w:val="center"/>
          </w:tcPr>
          <w:p>
            <w:pPr>
              <w:pStyle w:val="25"/>
            </w:pPr>
            <w:r>
              <w:t>575.76</w:t>
            </w:r>
          </w:p>
        </w:tc>
        <w:tc>
          <w:tcPr>
            <w:tcW w:w="2551" w:type="dxa"/>
            <w:vAlign w:val="center"/>
          </w:tcPr>
          <w:p>
            <w:pPr>
              <w:pStyle w:val="25"/>
            </w:pPr>
            <w:r>
              <w:t>74.10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649.86</w:t>
            </w:r>
          </w:p>
        </w:tc>
        <w:tc>
          <w:tcPr>
            <w:tcW w:w="2551" w:type="dxa"/>
            <w:vAlign w:val="center"/>
          </w:tcPr>
          <w:p>
            <w:pPr>
              <w:pStyle w:val="21"/>
            </w:pPr>
            <w:r>
              <w:t>575.76</w:t>
            </w:r>
          </w:p>
        </w:tc>
        <w:tc>
          <w:tcPr>
            <w:tcW w:w="2551" w:type="dxa"/>
            <w:vAlign w:val="center"/>
          </w:tcPr>
          <w:p>
            <w:pPr>
              <w:pStyle w:val="21"/>
            </w:pPr>
            <w:r>
              <w:t>74.10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649.86</w:t>
            </w:r>
          </w:p>
        </w:tc>
        <w:tc>
          <w:tcPr>
            <w:tcW w:w="2551" w:type="dxa"/>
            <w:vAlign w:val="center"/>
          </w:tcPr>
          <w:p>
            <w:pPr>
              <w:pStyle w:val="21"/>
            </w:pPr>
            <w:r>
              <w:t>575.76</w:t>
            </w:r>
          </w:p>
        </w:tc>
        <w:tc>
          <w:tcPr>
            <w:tcW w:w="2551" w:type="dxa"/>
            <w:vAlign w:val="center"/>
          </w:tcPr>
          <w:p>
            <w:pPr>
              <w:pStyle w:val="21"/>
            </w:pPr>
            <w:r>
              <w:t>74.10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12.28</w:t>
            </w:r>
          </w:p>
        </w:tc>
        <w:tc>
          <w:tcPr>
            <w:tcW w:w="2551" w:type="dxa"/>
            <w:vAlign w:val="center"/>
          </w:tcPr>
          <w:p>
            <w:pPr>
              <w:pStyle w:val="21"/>
            </w:pPr>
            <w:r>
              <w:t>1.08</w:t>
            </w:r>
          </w:p>
        </w:tc>
        <w:tc>
          <w:tcPr>
            <w:tcW w:w="2551" w:type="dxa"/>
            <w:vAlign w:val="center"/>
          </w:tcPr>
          <w:p>
            <w:pPr>
              <w:pStyle w:val="21"/>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637.58</w:t>
            </w:r>
          </w:p>
        </w:tc>
        <w:tc>
          <w:tcPr>
            <w:tcW w:w="2551" w:type="dxa"/>
            <w:vAlign w:val="center"/>
          </w:tcPr>
          <w:p>
            <w:pPr>
              <w:pStyle w:val="21"/>
            </w:pPr>
            <w:r>
              <w:t>574.68</w:t>
            </w:r>
          </w:p>
        </w:tc>
        <w:tc>
          <w:tcPr>
            <w:tcW w:w="2551" w:type="dxa"/>
            <w:vAlign w:val="center"/>
          </w:tcPr>
          <w:p>
            <w:pPr>
              <w:pStyle w:val="21"/>
            </w:pPr>
            <w:r>
              <w:t>62.90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575.76</w:t>
            </w:r>
          </w:p>
        </w:tc>
        <w:tc>
          <w:tcPr>
            <w:tcW w:w="2551" w:type="dxa"/>
            <w:vAlign w:val="center"/>
          </w:tcPr>
          <w:p>
            <w:pPr>
              <w:pStyle w:val="25"/>
            </w:pPr>
            <w:r>
              <w:t>566.85</w:t>
            </w:r>
          </w:p>
        </w:tc>
        <w:tc>
          <w:tcPr>
            <w:tcW w:w="2551" w:type="dxa"/>
            <w:vAlign w:val="center"/>
          </w:tcPr>
          <w:p>
            <w:pPr>
              <w:pStyle w:val="25"/>
            </w:pPr>
            <w:r>
              <w:t>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474.84</w:t>
            </w:r>
          </w:p>
        </w:tc>
        <w:tc>
          <w:tcPr>
            <w:tcW w:w="2551" w:type="dxa"/>
            <w:vAlign w:val="center"/>
          </w:tcPr>
          <w:p>
            <w:pPr>
              <w:pStyle w:val="21"/>
            </w:pPr>
            <w:r>
              <w:t>474.84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116.13</w:t>
            </w:r>
          </w:p>
        </w:tc>
        <w:tc>
          <w:tcPr>
            <w:tcW w:w="2551" w:type="dxa"/>
            <w:vAlign w:val="center"/>
          </w:tcPr>
          <w:p>
            <w:pPr>
              <w:pStyle w:val="21"/>
            </w:pPr>
            <w:r>
              <w:t>116.13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27.27</w:t>
            </w:r>
          </w:p>
        </w:tc>
        <w:tc>
          <w:tcPr>
            <w:tcW w:w="2551" w:type="dxa"/>
            <w:vAlign w:val="center"/>
          </w:tcPr>
          <w:p>
            <w:pPr>
              <w:pStyle w:val="21"/>
            </w:pPr>
            <w:r>
              <w:t>27.27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160.39</w:t>
            </w:r>
          </w:p>
        </w:tc>
        <w:tc>
          <w:tcPr>
            <w:tcW w:w="2551" w:type="dxa"/>
            <w:vAlign w:val="center"/>
          </w:tcPr>
          <w:p>
            <w:pPr>
              <w:pStyle w:val="21"/>
            </w:pPr>
            <w:r>
              <w:t>160.39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37.78</w:t>
            </w:r>
          </w:p>
        </w:tc>
        <w:tc>
          <w:tcPr>
            <w:tcW w:w="2551" w:type="dxa"/>
            <w:vAlign w:val="center"/>
          </w:tcPr>
          <w:p>
            <w:pPr>
              <w:pStyle w:val="21"/>
            </w:pPr>
            <w:r>
              <w:t>37.78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10.95</w:t>
            </w:r>
          </w:p>
        </w:tc>
        <w:tc>
          <w:tcPr>
            <w:tcW w:w="2551" w:type="dxa"/>
            <w:vAlign w:val="center"/>
          </w:tcPr>
          <w:p>
            <w:pPr>
              <w:pStyle w:val="21"/>
            </w:pPr>
            <w:r>
              <w:t>10.95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2.70</w:t>
            </w:r>
          </w:p>
        </w:tc>
        <w:tc>
          <w:tcPr>
            <w:tcW w:w="2551" w:type="dxa"/>
            <w:vAlign w:val="center"/>
          </w:tcPr>
          <w:p>
            <w:pPr>
              <w:pStyle w:val="21"/>
            </w:pPr>
            <w:r>
              <w:t>2.70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30.82</w:t>
            </w:r>
          </w:p>
        </w:tc>
        <w:tc>
          <w:tcPr>
            <w:tcW w:w="2551" w:type="dxa"/>
            <w:vAlign w:val="center"/>
          </w:tcPr>
          <w:p>
            <w:pPr>
              <w:pStyle w:val="21"/>
            </w:pPr>
            <w:r>
              <w:t>30.82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88.80</w:t>
            </w:r>
          </w:p>
        </w:tc>
        <w:tc>
          <w:tcPr>
            <w:tcW w:w="2551" w:type="dxa"/>
            <w:vAlign w:val="center"/>
          </w:tcPr>
          <w:p>
            <w:pPr>
              <w:pStyle w:val="21"/>
            </w:pPr>
            <w:r>
              <w:t>88.80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8.91</w:t>
            </w:r>
          </w:p>
        </w:tc>
        <w:tc>
          <w:tcPr>
            <w:tcW w:w="2551" w:type="dxa"/>
            <w:vAlign w:val="center"/>
          </w:tcPr>
          <w:p>
            <w:pPr>
              <w:pStyle w:val="21"/>
            </w:pPr>
          </w:p>
        </w:tc>
        <w:tc>
          <w:tcPr>
            <w:tcW w:w="2551" w:type="dxa"/>
            <w:vAlign w:val="center"/>
          </w:tcPr>
          <w:p>
            <w:pPr>
              <w:pStyle w:val="21"/>
            </w:pPr>
            <w:r>
              <w:t>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1.08</w:t>
            </w:r>
          </w:p>
        </w:tc>
        <w:tc>
          <w:tcPr>
            <w:tcW w:w="2551" w:type="dxa"/>
            <w:vAlign w:val="center"/>
          </w:tcPr>
          <w:p>
            <w:pPr>
              <w:pStyle w:val="21"/>
            </w:pPr>
          </w:p>
        </w:tc>
        <w:tc>
          <w:tcPr>
            <w:tcW w:w="2551" w:type="dxa"/>
            <w:vAlign w:val="center"/>
          </w:tcPr>
          <w:p>
            <w:pPr>
              <w:pStyle w:val="21"/>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4.60</w:t>
            </w:r>
          </w:p>
        </w:tc>
        <w:tc>
          <w:tcPr>
            <w:tcW w:w="2551" w:type="dxa"/>
            <w:vAlign w:val="center"/>
          </w:tcPr>
          <w:p>
            <w:pPr>
              <w:pStyle w:val="21"/>
            </w:pPr>
          </w:p>
        </w:tc>
        <w:tc>
          <w:tcPr>
            <w:tcW w:w="2551" w:type="dxa"/>
            <w:vAlign w:val="center"/>
          </w:tcPr>
          <w:p>
            <w:pPr>
              <w:pStyle w:val="21"/>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3.23</w:t>
            </w:r>
          </w:p>
        </w:tc>
        <w:tc>
          <w:tcPr>
            <w:tcW w:w="2551" w:type="dxa"/>
            <w:vAlign w:val="center"/>
          </w:tcPr>
          <w:p>
            <w:pPr>
              <w:pStyle w:val="21"/>
            </w:pPr>
          </w:p>
        </w:tc>
        <w:tc>
          <w:tcPr>
            <w:tcW w:w="2551" w:type="dxa"/>
            <w:vAlign w:val="center"/>
          </w:tcPr>
          <w:p>
            <w:pPr>
              <w:pStyle w:val="21"/>
            </w:pPr>
            <w:r>
              <w:t>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92.01</w:t>
            </w:r>
          </w:p>
        </w:tc>
        <w:tc>
          <w:tcPr>
            <w:tcW w:w="2551" w:type="dxa"/>
            <w:vAlign w:val="center"/>
          </w:tcPr>
          <w:p>
            <w:pPr>
              <w:pStyle w:val="21"/>
            </w:pPr>
            <w:r>
              <w:t>92.01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68.78</w:t>
            </w:r>
          </w:p>
        </w:tc>
        <w:tc>
          <w:tcPr>
            <w:tcW w:w="2551" w:type="dxa"/>
            <w:vAlign w:val="center"/>
          </w:tcPr>
          <w:p>
            <w:pPr>
              <w:pStyle w:val="21"/>
            </w:pPr>
            <w:r>
              <w:t>68.78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23.19</w:t>
            </w:r>
          </w:p>
        </w:tc>
        <w:tc>
          <w:tcPr>
            <w:tcW w:w="2551" w:type="dxa"/>
            <w:vAlign w:val="center"/>
          </w:tcPr>
          <w:p>
            <w:pPr>
              <w:pStyle w:val="21"/>
            </w:pPr>
            <w:r>
              <w:t>23.19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霸州市东杨庄乡孙家坊完小2023年单位预算信息公开情况说明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按照《预算法》、《地方预决算公开操作规程》和《关于进一步推进预算公开工作的实施意见》规定，现将霸州市东杨庄乡孙家坊完小2023年单位预算公开如下：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22"/>
            </w:pPr>
            <w:r>
              <w:t>霸州市东杨庄乡孙家坊完小</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649.86</w:t>
      </w:r>
      <w:r>
        <w:rPr>
          <w:rFonts w:hint="eastAsia" w:ascii="方正仿宋_GBK"/>
        </w:rPr>
        <w:t>万元，其中：一般公共预算收入</w:t>
      </w:r>
      <w:r>
        <w:rPr>
          <w:rFonts w:hint="eastAsia" w:ascii="方正仿宋_GBK"/>
          <w:lang w:val="en-US" w:eastAsia="zh-CN"/>
        </w:rPr>
        <w:t>649.86</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收支预算总表支出栏、基本支出表、项目支出表按经济分类和支出功能分类科目编制，反映霸州市XX单位2023年度单位预算中支出预算的总体情况。2023年支出预算</w:t>
      </w:r>
      <w:r>
        <w:rPr>
          <w:rFonts w:hint="eastAsia" w:ascii="方正仿宋_GBK"/>
          <w:lang w:val="en-US" w:eastAsia="zh-CN"/>
        </w:rPr>
        <w:t>649.86</w:t>
      </w:r>
      <w:r>
        <w:rPr>
          <w:rFonts w:hint="eastAsia" w:ascii="方正仿宋_GBK"/>
        </w:rPr>
        <w:t>万元，其中：基本支出</w:t>
      </w:r>
      <w:r>
        <w:rPr>
          <w:rFonts w:hint="eastAsia" w:ascii="方正仿宋_GBK"/>
          <w:lang w:val="en-US" w:eastAsia="zh-CN"/>
        </w:rPr>
        <w:t>575.76</w:t>
      </w:r>
      <w:r>
        <w:rPr>
          <w:rFonts w:hint="eastAsia" w:ascii="方正仿宋_GBK"/>
        </w:rPr>
        <w:t>万元，包括人员经费</w:t>
      </w:r>
      <w:r>
        <w:rPr>
          <w:rFonts w:hint="eastAsia" w:ascii="方正仿宋_GBK"/>
          <w:lang w:val="en-US" w:eastAsia="zh-CN"/>
        </w:rPr>
        <w:t>566.85</w:t>
      </w:r>
      <w:r>
        <w:rPr>
          <w:rFonts w:hint="eastAsia" w:ascii="方正仿宋_GBK"/>
        </w:rPr>
        <w:t>万元和日常公用经费</w:t>
      </w:r>
      <w:r>
        <w:rPr>
          <w:rFonts w:hint="eastAsia" w:ascii="方正仿宋_GBK"/>
          <w:lang w:val="en-US" w:eastAsia="zh-CN"/>
        </w:rPr>
        <w:t>8.91</w:t>
      </w:r>
      <w:r>
        <w:rPr>
          <w:rFonts w:hint="eastAsia" w:ascii="方正仿宋_GBK"/>
        </w:rPr>
        <w:t>万元；项目支出</w:t>
      </w:r>
      <w:r>
        <w:rPr>
          <w:rFonts w:hint="eastAsia" w:ascii="方正仿宋_GBK"/>
          <w:lang w:val="en-US" w:eastAsia="zh-CN"/>
        </w:rPr>
        <w:t>74.10</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649.86</w:t>
      </w:r>
      <w:r>
        <w:rPr>
          <w:rFonts w:hint="eastAsia" w:ascii="方正仿宋_GBK"/>
        </w:rPr>
        <w:t>万元，较2022年预算增加</w:t>
      </w:r>
      <w:r>
        <w:rPr>
          <w:rFonts w:hint="eastAsia" w:ascii="方正仿宋_GBK"/>
          <w:lang w:val="en-US" w:eastAsia="zh-CN"/>
        </w:rPr>
        <w:t>71.5</w:t>
      </w:r>
      <w:r>
        <w:rPr>
          <w:rFonts w:hint="eastAsia" w:ascii="方正仿宋_GBK"/>
        </w:rPr>
        <w:t>万元，其中：基本支出增加</w:t>
      </w:r>
      <w:r>
        <w:rPr>
          <w:rFonts w:hint="eastAsia" w:ascii="方正仿宋_GBK"/>
          <w:lang w:val="en-US" w:eastAsia="zh-CN"/>
        </w:rPr>
        <w:t>66.23</w:t>
      </w:r>
      <w:r>
        <w:rPr>
          <w:rFonts w:hint="eastAsia" w:ascii="方正仿宋_GBK"/>
        </w:rPr>
        <w:t>万元，主要为</w:t>
      </w:r>
      <w:r>
        <w:rPr>
          <w:rFonts w:hint="eastAsia" w:ascii="方正仿宋_GBK"/>
          <w:lang w:val="en-US" w:eastAsia="zh-CN"/>
        </w:rPr>
        <w:t>日常经费</w:t>
      </w:r>
      <w:r>
        <w:rPr>
          <w:rFonts w:hint="eastAsia" w:ascii="方正仿宋_GBK"/>
        </w:rPr>
        <w:t>支出；项目支出或减少</w:t>
      </w:r>
      <w:r>
        <w:rPr>
          <w:rFonts w:hint="eastAsia" w:ascii="方正仿宋_GBK"/>
          <w:lang w:val="en-US" w:eastAsia="zh-CN"/>
        </w:rPr>
        <w:t>76.9</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649.86</w:t>
      </w:r>
      <w:r>
        <w:rPr>
          <w:rFonts w:hint="eastAsia" w:ascii="方正仿宋_GBK"/>
        </w:rPr>
        <w:t>万元，主要用于</w:t>
      </w:r>
      <w:r>
        <w:rPr>
          <w:rFonts w:hint="eastAsia" w:ascii="方正仿宋_GBK"/>
          <w:lang w:val="en-US" w:eastAsia="zh-CN"/>
        </w:rPr>
        <w:t>办公区的日常维修、办公用房水电费、办公用房取暖费、办公费、福利费、工会经费、物业管理费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≥757人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学生对学校的满意度</w:t>
            </w:r>
          </w:p>
        </w:tc>
        <w:tc>
          <w:tcPr>
            <w:tcW w:w="2551" w:type="dxa"/>
            <w:vAlign w:val="center"/>
          </w:tcPr>
          <w:p>
            <w:pPr>
              <w:pStyle w:val="22"/>
            </w:pPr>
            <w:r>
              <w:t>≥95%</w:t>
            </w:r>
          </w:p>
        </w:tc>
        <w:tc>
          <w:tcPr>
            <w:tcW w:w="2268" w:type="dxa"/>
            <w:vAlign w:val="center"/>
          </w:tcPr>
          <w:p>
            <w:pPr>
              <w:pStyle w:val="22"/>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≥757人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≥757人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经费保障在幼儿数量</w:t>
            </w:r>
          </w:p>
        </w:tc>
        <w:tc>
          <w:tcPr>
            <w:tcW w:w="2835" w:type="dxa"/>
            <w:vAlign w:val="center"/>
          </w:tcPr>
          <w:p>
            <w:pPr>
              <w:pStyle w:val="22"/>
            </w:pPr>
            <w:r>
              <w:t>经费保障在幼儿数量</w:t>
            </w:r>
          </w:p>
        </w:tc>
        <w:tc>
          <w:tcPr>
            <w:tcW w:w="2551" w:type="dxa"/>
            <w:vAlign w:val="center"/>
          </w:tcPr>
          <w:p>
            <w:pPr>
              <w:pStyle w:val="22"/>
            </w:pPr>
            <w:r>
              <w:t>≥137人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≤11.2万元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调查中对幼儿园满意和比较满意的家长</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2023年，霸州市东杨庄乡孙家坊完小安排政府采购预算3.37万元。具体内容见下表。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3.37</w:t>
            </w:r>
          </w:p>
        </w:tc>
        <w:tc>
          <w:tcPr>
            <w:tcW w:w="964" w:type="dxa"/>
            <w:vAlign w:val="center"/>
          </w:tcPr>
          <w:p>
            <w:pPr>
              <w:pStyle w:val="25"/>
            </w:pPr>
            <w:r>
              <w:t>3.37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霸州市东杨庄乡孙家坊完小小计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3.37</w:t>
            </w:r>
          </w:p>
        </w:tc>
        <w:tc>
          <w:tcPr>
            <w:tcW w:w="964" w:type="dxa"/>
            <w:vAlign w:val="center"/>
          </w:tcPr>
          <w:p>
            <w:pPr>
              <w:pStyle w:val="25"/>
            </w:pPr>
            <w:r>
              <w:t>3.37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37.00</w:t>
            </w:r>
          </w:p>
        </w:tc>
        <w:tc>
          <w:tcPr>
            <w:tcW w:w="1134" w:type="dxa"/>
            <w:vAlign w:val="center"/>
          </w:tcPr>
          <w:p>
            <w:pPr>
              <w:pStyle w:val="22"/>
            </w:pPr>
            <w:r>
              <w:t>民用锅炉</w:t>
            </w:r>
          </w:p>
        </w:tc>
        <w:tc>
          <w:tcPr>
            <w:tcW w:w="1134" w:type="dxa"/>
            <w:vAlign w:val="center"/>
          </w:tcPr>
          <w:p>
            <w:pPr>
              <w:pStyle w:val="22"/>
            </w:pPr>
            <w:r>
              <w:t>A02050402</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37.00</w:t>
            </w:r>
          </w:p>
        </w:tc>
        <w:tc>
          <w:tcPr>
            <w:tcW w:w="1134" w:type="dxa"/>
            <w:vAlign w:val="center"/>
          </w:tcPr>
          <w:p>
            <w:pPr>
              <w:pStyle w:val="22"/>
            </w:pPr>
            <w:r>
              <w:t>其他仪器仪表</w:t>
            </w:r>
          </w:p>
        </w:tc>
        <w:tc>
          <w:tcPr>
            <w:tcW w:w="1134" w:type="dxa"/>
            <w:vAlign w:val="center"/>
          </w:tcPr>
          <w:p>
            <w:pPr>
              <w:pStyle w:val="22"/>
            </w:pPr>
            <w:r>
              <w:t>A02109900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1.38</w:t>
            </w:r>
          </w:p>
        </w:tc>
        <w:tc>
          <w:tcPr>
            <w:tcW w:w="964" w:type="dxa"/>
            <w:vAlign w:val="center"/>
          </w:tcPr>
          <w:p>
            <w:pPr>
              <w:pStyle w:val="21"/>
            </w:pPr>
            <w:r>
              <w:t>1.38</w:t>
            </w:r>
          </w:p>
        </w:tc>
        <w:tc>
          <w:tcPr>
            <w:tcW w:w="964" w:type="dxa"/>
            <w:vAlign w:val="center"/>
          </w:tcPr>
          <w:p>
            <w:pPr>
              <w:pStyle w:val="21"/>
            </w:pPr>
            <w:r>
              <w:t>1.38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37.00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平米</w:t>
            </w:r>
          </w:p>
        </w:tc>
        <w:tc>
          <w:tcPr>
            <w:tcW w:w="850" w:type="dxa"/>
            <w:vAlign w:val="center"/>
          </w:tcPr>
          <w:p>
            <w:pPr>
              <w:pStyle w:val="21"/>
            </w:pPr>
            <w:r>
              <w:t>7</w:t>
            </w:r>
          </w:p>
        </w:tc>
        <w:tc>
          <w:tcPr>
            <w:tcW w:w="850" w:type="dxa"/>
            <w:vAlign w:val="center"/>
          </w:tcPr>
          <w:p>
            <w:pPr>
              <w:pStyle w:val="21"/>
            </w:pPr>
            <w:r>
              <w:t>0.07</w:t>
            </w:r>
          </w:p>
        </w:tc>
        <w:tc>
          <w:tcPr>
            <w:tcW w:w="964" w:type="dxa"/>
            <w:vAlign w:val="center"/>
          </w:tcPr>
          <w:p>
            <w:pPr>
              <w:pStyle w:val="21"/>
            </w:pPr>
            <w:r>
              <w:t>0.49</w:t>
            </w:r>
          </w:p>
        </w:tc>
        <w:tc>
          <w:tcPr>
            <w:tcW w:w="964" w:type="dxa"/>
            <w:vAlign w:val="center"/>
          </w:tcPr>
          <w:p>
            <w:pPr>
              <w:pStyle w:val="21"/>
            </w:pPr>
            <w:r>
              <w:t>0.49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0.49</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霸州市东杨庄乡孙家坊完小上年末固定资产金额为</w:t>
      </w:r>
      <w:r>
        <w:rPr>
          <w:rFonts w:hint="eastAsia" w:eastAsia="方正仿宋_GBK"/>
          <w:color w:val="000000"/>
          <w:sz w:val="28"/>
          <w:lang w:val="en-US" w:eastAsia="zh-CN"/>
        </w:rPr>
        <w:t>217.26</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501553霸州市东杨庄乡孙家坊完小</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资产总额</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217.26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1、房屋（平方米）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其中：办公用房（平方米）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2、车辆（台、辆）</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3、单价在20万元以上的设备</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4、其他固定资产</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216</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217.26</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3192d731-f56d-4cba-9fa3-c6729783f7d5"/>
  </w:docVars>
  <w:rsids>
    <w:rsidRoot w:val="004A1168"/>
    <w:rsid w:val="00012A57"/>
    <w:rsid w:val="000B7353"/>
    <w:rsid w:val="00136014"/>
    <w:rsid w:val="001F67F8"/>
    <w:rsid w:val="002F010E"/>
    <w:rsid w:val="003A5231"/>
    <w:rsid w:val="003D654A"/>
    <w:rsid w:val="00423ACE"/>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A4F6FBB"/>
    <w:rsid w:val="408D0CF5"/>
    <w:rsid w:val="43C72D5A"/>
    <w:rsid w:val="7AC2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25</Pages>
  <Words>6111</Words>
  <Characters>7150</Characters>
  <Lines>72</Lines>
  <Paragraphs>20</Paragraphs>
  <TotalTime>1</TotalTime>
  <ScaleCrop>false</ScaleCrop>
  <LinksUpToDate>false</LinksUpToDate>
  <CharactersWithSpaces>7291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72128BB1A1BF4723BF4F2840F18FF058</vt:lpwstr>
  </property>
</Properties>
</file>